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80"/>
        <w:jc w:val="center"/>
      </w:pPr>
      <w:r>
        <w:rPr>
          <w:rFonts w:ascii="Arial" w:hAnsi="Arial"/>
          <w:b/>
          <w:color w:val="102326"/>
          <w:sz w:val="48"/>
        </w:rPr>
        <w:t>THE ENTROPY OF CHOICE</w:t>
      </w:r>
    </w:p>
    <w:p>
      <w:pPr>
        <w:jc w:val="center"/>
      </w:pPr>
      <w:r>
        <w:rPr>
          <w:b/>
          <w:color w:val="00696F"/>
          <w:sz w:val="28"/>
        </w:rPr>
        <w:t>Mathematical Appendices to the Boundary-Complexity Hypothesis</w:t>
      </w:r>
    </w:p>
    <w:p>
      <w:pPr>
        <w:jc w:val="center"/>
      </w:pPr>
      <w:r>
        <w:rPr>
          <w:color w:val="526468"/>
          <w:sz w:val="20"/>
        </w:rPr>
        <w:t>Rajesh Singh</w:t>
        <w:br/>
        <w:t>MetaForgeX AI (Pty) Ltd | NSDM Institute</w:t>
        <w:br/>
        <w:t>Johannesburg, South Africa</w:t>
        <w:br/>
        <w:t>Working Paper 2026-02A | Revision 2.0 | July 2026</w:t>
      </w:r>
    </w:p>
    <w:tbl>
      <w:tblPr>
        <w:tblW w:type="auto" w:w="0"/>
        <w:jc w:val="center"/>
        <w:tblLayout w:type="autofit"/>
        <w:tblLook w:firstColumn="1" w:firstRow="1" w:lastColumn="0" w:lastRow="0" w:noHBand="0" w:noVBand="1" w:val="04A0"/>
      </w:tblPr>
      <w:tblGrid>
        <w:gridCol w:w="9994"/>
      </w:tblGrid>
      <w:tr>
        <w:tc>
          <w:tcPr>
            <w:tcW w:type="dxa" w:w="9994"/>
            <w:shd w:fill="EEF4F3"/>
          </w:tcPr>
          <w:p>
            <w:pPr>
              <w:spacing w:after="0"/>
            </w:pPr>
            <w:r>
              <w:rPr>
                <w:b/>
                <w:color w:val="00696F"/>
                <w:sz w:val="20"/>
              </w:rPr>
              <w:t>RESEARCH STATUS</w:t>
              <w:br/>
            </w:r>
            <w:r>
              <w:rPr>
                <w:color w:val="102326"/>
                <w:sz w:val="19"/>
              </w:rPr>
              <w:t>Independent mathematical supplement. Not yet peer-reviewed. Appendix F contains the strongest result: a covering-number upper bound under explicit regularity, metric and local-complexity assumptions. Appendices G-I present structured correspondences, not proven equivalences. Appendices J-L are research questions rather than established quantum or hardware predictions. Appendices M-N define operational hypotheses and falsification tests.</w:t>
            </w:r>
          </w:p>
        </w:tc>
      </w:tr>
    </w:tbl>
    <w:p/>
    <w:p>
      <w:r>
        <w:rPr>
          <w:b/>
          <w:color w:val="00696F"/>
        </w:rPr>
        <w:t>AI-assistance disclosure</w:t>
      </w:r>
      <w:r>
        <w:br/>
        <w:t>AI was used for research support, drafting and adversarial review. The author directed the argument, selected the claims, reviewed the sources and accepts responsibility for the final text.</w:t>
      </w:r>
    </w:p>
    <w:p>
      <w:pPr>
        <w:pStyle w:val="Heading1"/>
      </w:pPr>
      <w:r>
        <w:t>Notation and scope</w:t>
      </w:r>
    </w:p>
    <w:p>
      <w:r>
        <w:t>Let M be a compact metric state-action manifold, d its ambient dimension, and pi a binary policy. The action-changing set is denoted by partial D_pi. Its intrinsic dimension is k, which need not equal d-1 in irregular or lower-dimensional cases. H^k denotes k-dimensional Hausdorff measure. Epsilon is a declared observational or representational resolution. N(epsilon, Pi_delta, d_H) is the covering number of a near-optimal policy class Pi_delta under Hausdorff boundary distance d_H. All logarithms are natural unless stated otherwise.</w:t>
      </w:r>
    </w:p>
    <w:p>
      <w:r>
        <w:t>These appendices distinguish four levels of claim:</w:t>
      </w:r>
    </w:p>
    <w:p>
      <w:pPr>
        <w:pStyle w:val="ListBullet"/>
      </w:pPr>
      <w:r>
        <w:t>Derived result: follows from stated assumptions.</w:t>
      </w:r>
    </w:p>
    <w:p>
      <w:pPr>
        <w:pStyle w:val="ListBullet"/>
      </w:pPr>
      <w:r>
        <w:t>Restricted correspondence: follows only for a special model family or approximation.</w:t>
      </w:r>
    </w:p>
    <w:p>
      <w:pPr>
        <w:pStyle w:val="ListBullet"/>
      </w:pPr>
      <w:r>
        <w:t>Structural analogy: shares a mathematical form but not a common physical mechanism.</w:t>
      </w:r>
    </w:p>
    <w:p>
      <w:pPr>
        <w:pStyle w:val="ListBullet"/>
      </w:pPr>
      <w:r>
        <w:t>Empirical hypothesis: must be tested and may fail.</w:t>
      </w:r>
    </w:p>
    <w:p>
      <w:pPr>
        <w:pStyle w:val="Heading1"/>
      </w:pPr>
      <w:r>
        <w:t>Appendix F. Boundary covering bound</w:t>
      </w:r>
    </w:p>
    <w:p>
      <w:r>
        <w:t>This appendix states the mathematically strongest version of the proposal. It does not assume that every patch of a decision boundary varies independently, and it does not fix the boundary dimension at two.</w:t>
      </w:r>
    </w:p>
    <w:p>
      <w:pPr>
        <w:pStyle w:val="Heading2"/>
      </w:pPr>
      <w:r>
        <w:t>F.1 Near-optimal policy class</w:t>
      </w:r>
    </w:p>
    <w:p>
      <w:r>
        <w:t>Let X be distributed according to P_X on M, let pi* be an optimal policy, and let L be a decision loss. Define</w:t>
      </w:r>
    </w:p>
    <w:p>
      <w:pPr>
        <w:spacing w:before="160" w:after="160"/>
        <w:jc w:val="center"/>
      </w:pPr>
      <w:r>
        <w:rPr>
          <w:rFonts w:ascii="Cambria Math" w:hAnsi="Cambria Math"/>
          <w:b/>
          <w:color w:val="004B50"/>
          <w:sz w:val="24"/>
        </w:rPr>
        <w:t>Pi_delta = { pi : E_X[L(pi(X), pi*(X))] &lt;= delta }.</w:t>
      </w:r>
    </w:p>
    <w:p>
      <w:r>
        <w:t>The class Pi_delta contains policies whose expected loss relative to pi* is at most delta. The bound concerns distinguishable boundaries inside this class, not arbitrary geometric surfaces.</w:t>
      </w:r>
    </w:p>
    <w:p>
      <w:pPr>
        <w:pStyle w:val="Heading2"/>
      </w:pPr>
      <w:r>
        <w:t>F.2 Regular boundary class</w:t>
      </w:r>
    </w:p>
    <w:p>
      <w:r>
        <w:t>Assume that every partial D_pi belongs to a regular k-dimensional class B with uniformly bounded local configuration complexity. Informally, a boundary can be covered by epsilon-scale patches, and each patch admits at most Lambda distinguishable local states once smoothness, curvature or other regularity constraints are imposed.</w:t>
      </w:r>
    </w:p>
    <w:p>
      <w:pPr>
        <w:pStyle w:val="Heading2"/>
      </w:pPr>
      <w:r>
        <w:t>F.3 Proposition</w:t>
      </w:r>
    </w:p>
    <w:tbl>
      <w:tblPr>
        <w:tblW w:type="auto" w:w="0"/>
        <w:jc w:val="center"/>
        <w:tblLayout w:type="autofit"/>
        <w:tblLook w:firstColumn="1" w:firstRow="1" w:lastColumn="0" w:lastRow="0" w:noHBand="0" w:noVBand="1" w:val="04A0"/>
      </w:tblPr>
      <w:tblGrid>
        <w:gridCol w:w="9994"/>
      </w:tblGrid>
      <w:tr>
        <w:tc>
          <w:tcPr>
            <w:tcW w:type="dxa" w:w="9994"/>
            <w:shd w:fill="EEF4F3"/>
          </w:tcPr>
          <w:p>
            <w:pPr>
              <w:spacing w:after="0"/>
            </w:pPr>
            <w:r>
              <w:rPr>
                <w:b/>
                <w:color w:val="00696F"/>
                <w:sz w:val="20"/>
              </w:rPr>
              <w:t>PROPOSITION F.1 - Boundary covering bound</w:t>
              <w:br/>
            </w:r>
            <w:r>
              <w:rPr>
                <w:color w:val="102326"/>
                <w:sz w:val="19"/>
              </w:rPr>
              <w:t>If the boundaries in Pi_delta have uniformly bounded k-dimensional Hausdorff measure and local epsilon-scale configuration count Lambda, then the number of pairwise epsilon-distinguishable policy boundaries satisfies the bound below for a constant C determined by the boundary class and metric.</w:t>
            </w:r>
          </w:p>
        </w:tc>
      </w:tr>
    </w:tbl>
    <w:p/>
    <w:p>
      <w:pPr>
        <w:spacing w:before="160" w:after="160"/>
        <w:jc w:val="center"/>
      </w:pPr>
      <w:r>
        <w:rPr>
          <w:rFonts w:ascii="Cambria Math" w:hAnsi="Cambria Math"/>
          <w:b/>
          <w:color w:val="004B50"/>
          <w:sz w:val="24"/>
        </w:rPr>
        <w:t>log N(epsilon, Pi_delta, d_H) &lt;= C * sup_{pi in Pi_delta} H^k(partial D_pi) / epsilon^k.</w:t>
      </w:r>
    </w:p>
    <w:p>
      <w:r>
        <w:t>Proof sketch. Cover each boundary by at most C_0 H^k(partial D_pi)/epsilon^k metric balls. If each local patch admits at most Lambda admissible states, then the total number of configurations is at most Lambda raised to the covering count. Taking logarithms yields the result with C = C_0 log Lambda. Correlation between patches can only reduce the actual configuration count, so the expression remains an upper bound within the assumed class.</w:t>
      </w:r>
    </w:p>
    <w:p>
      <w:pPr>
        <w:pStyle w:val="Heading2"/>
      </w:pPr>
      <w:r>
        <w:t>F.4 What the proposition does and does not say</w:t>
      </w:r>
    </w:p>
    <w:p>
      <w:pPr>
        <w:pStyle w:val="ListBullet"/>
      </w:pPr>
      <w:r>
        <w:t>It gives a geometric upper bound on distinguishable policy boundaries at a declared resolution.</w:t>
      </w:r>
    </w:p>
    <w:p>
      <w:pPr>
        <w:pStyle w:val="ListBullet"/>
      </w:pPr>
      <w:r>
        <w:t>It does not prove that every model requires that much capacity.</w:t>
      </w:r>
    </w:p>
    <w:p>
      <w:pPr>
        <w:pStyle w:val="ListBullet"/>
      </w:pPr>
      <w:r>
        <w:t>It does not establish a universal parameter-count formula.</w:t>
      </w:r>
    </w:p>
    <w:p>
      <w:pPr>
        <w:pStyle w:val="ListBullet"/>
      </w:pPr>
      <w:r>
        <w:t>It depends on the metric and representation used to measure the boundary.</w:t>
      </w:r>
    </w:p>
    <w:p>
      <w:pPr>
        <w:pStyle w:val="ListBullet"/>
      </w:pPr>
      <w:r>
        <w:t>The epsilon^-2 expression is only the special case k = 2.</w:t>
      </w:r>
    </w:p>
    <w:p>
      <w:pPr>
        <w:pStyle w:val="Heading1"/>
      </w:pPr>
      <w:r>
        <w:t>Appendix G. Rate-distortion localisation near a decision boundary</w:t>
      </w:r>
    </w:p>
    <w:p>
      <w:r>
        <w:t>The original appendices described an exact equivalence with Shannon rate-distortion theory. The defensible claim is narrower: under a local value-gap model, decision regret is concentrated in a shell around the action-changing boundary, producing a related boundary-sensitive scaling.</w:t>
      </w:r>
    </w:p>
    <w:p>
      <w:pPr>
        <w:pStyle w:val="Heading2"/>
      </w:pPr>
      <w:r>
        <w:t>G.1 Decision distortion</w:t>
      </w:r>
    </w:p>
    <w:p>
      <w:pPr>
        <w:spacing w:before="160" w:after="160"/>
        <w:jc w:val="center"/>
      </w:pPr>
      <w:r>
        <w:rPr>
          <w:rFonts w:ascii="Cambria Math" w:hAnsi="Cambria Math"/>
          <w:b/>
          <w:color w:val="004B50"/>
          <w:sz w:val="24"/>
        </w:rPr>
        <w:t>D(pi_hat) = E_X[ L(pi_hat(X), pi*(X)) ].</w:t>
      </w:r>
    </w:p>
    <w:p>
      <w:r>
        <w:t>A rate-distortion problem asks for the smallest information rate needed to keep expected decision loss below D. The relevant distortion is task loss or regret, not geometric displacement by itself.</w:t>
      </w:r>
    </w:p>
    <w:p>
      <w:pPr>
        <w:pStyle w:val="Heading2"/>
      </w:pPr>
      <w:r>
        <w:t>G.2 Boundary-shell approximation</w:t>
      </w:r>
    </w:p>
    <w:p>
      <w:r>
        <w:t>Suppose the value gap between competing actions grows approximately linearly with normal distance r from a regular boundary: Delta V(x) approximately kappa |r|. A perturbation changes the action only when it crosses the boundary. For small perturbations, material regret is therefore concentrated in a tubular neighbourhood of partial D.</w:t>
      </w:r>
    </w:p>
    <w:p>
      <w:pPr>
        <w:spacing w:before="160" w:after="160"/>
        <w:jc w:val="center"/>
      </w:pPr>
      <w:r>
        <w:rPr>
          <w:rFonts w:ascii="Cambria Math" w:hAnsi="Cambria Math"/>
          <w:b/>
          <w:color w:val="004B50"/>
          <w:sz w:val="24"/>
        </w:rPr>
        <w:t>P_X(error with action change) approximately integral over the boundary shell.</w:t>
      </w:r>
    </w:p>
    <w:p>
      <w:r>
        <w:t>If P_X has a smooth density and the shell thickness is eta, its probability mass is approximately eta times an integral of the density over the boundary. This creates a principled link between distortion and boundary-local mass.</w:t>
      </w:r>
    </w:p>
    <w:p>
      <w:pPr>
        <w:pStyle w:val="Heading2"/>
      </w:pPr>
      <w:r>
        <w:t>G.3 Status of the correspondence</w:t>
      </w:r>
    </w:p>
    <w:tbl>
      <w:tblPr>
        <w:tblW w:type="auto" w:w="0"/>
        <w:jc w:val="center"/>
        <w:tblLayout w:type="autofit"/>
        <w:tblLook w:firstColumn="1" w:firstRow="1" w:lastColumn="0" w:lastRow="0" w:noHBand="0" w:noVBand="1" w:val="04A0"/>
      </w:tblPr>
      <w:tblGrid>
        <w:gridCol w:w="9994"/>
      </w:tblGrid>
      <w:tr>
        <w:tc>
          <w:tcPr>
            <w:tcW w:type="dxa" w:w="9994"/>
            <w:shd w:fill="EEF4F3"/>
          </w:tcPr>
          <w:p>
            <w:pPr>
              <w:spacing w:after="0"/>
            </w:pPr>
            <w:r>
              <w:rPr>
                <w:b/>
                <w:color w:val="00696F"/>
                <w:sz w:val="20"/>
              </w:rPr>
              <w:t>RESTRICTED CORRESPONDENCE</w:t>
              <w:br/>
            </w:r>
            <w:r>
              <w:rPr>
                <w:color w:val="102326"/>
                <w:sz w:val="19"/>
              </w:rPr>
              <w:t>The result supports boundary localisation of decision distortion. It does not establish R(D) = S_choice + O(1) for general sources, losses or policy classes. A full equivalence would require solving the rate-distortion problem for a specified source distribution, policy family and distortion function.</w:t>
            </w:r>
          </w:p>
        </w:tc>
      </w:tr>
    </w:tbl>
    <w:p/>
    <w:p>
      <w:pPr>
        <w:pStyle w:val="Heading1"/>
      </w:pPr>
      <w:r>
        <w:t>Appendix H. Boundary-localised variational model</w:t>
      </w:r>
    </w:p>
    <w:p>
      <w:r>
        <w:t>Variational free energy provides a tractable upper bound on surprise in Friston's formulation. The present appendix does not claim a general free-energy/area theorem. It examines a restricted posterior family concentrated near a regular decision boundary.</w:t>
      </w:r>
    </w:p>
    <w:p>
      <w:pPr>
        <w:pStyle w:val="Heading2"/>
      </w:pPr>
      <w:r>
        <w:t>H.1 Tubular posterior family</w:t>
      </w:r>
    </w:p>
    <w:p>
      <w:pPr>
        <w:spacing w:before="160" w:after="160"/>
        <w:jc w:val="center"/>
      </w:pPr>
      <w:r>
        <w:rPr>
          <w:rFonts w:ascii="Cambria Math" w:hAnsi="Cambria Math"/>
          <w:b/>
          <w:color w:val="004B50"/>
          <w:sz w:val="24"/>
        </w:rPr>
        <w:t>q(theta) = Z^-1 exp( -rho(theta)^2 / (2 sigma^2) ),</w:t>
      </w:r>
    </w:p>
    <w:p>
      <w:r>
        <w:t>where rho is signed distance to partial D and sigma is the normal width. Under a regular tube approximation,</w:t>
      </w:r>
    </w:p>
    <w:p>
      <w:pPr>
        <w:spacing w:before="160" w:after="160"/>
        <w:jc w:val="center"/>
      </w:pPr>
      <w:r>
        <w:rPr>
          <w:rFonts w:ascii="Cambria Math" w:hAnsi="Cambria Math"/>
          <w:b/>
          <w:color w:val="004B50"/>
          <w:sz w:val="24"/>
        </w:rPr>
        <w:t>Z approximately H^k(partial D) * sigma * sqrt(2 pi),</w:t>
      </w:r>
    </w:p>
    <w:p>
      <w:r>
        <w:t>up to curvature and density corrections. The differential entropy therefore contains a term log H^k(partial D) plus normal-width and constant terms.</w:t>
      </w:r>
    </w:p>
    <w:p>
      <w:pPr>
        <w:pStyle w:val="Heading2"/>
      </w:pPr>
      <w:r>
        <w:t>H.2 Correct interpretation</w:t>
      </w:r>
    </w:p>
    <w:p>
      <w:pPr>
        <w:pStyle w:val="ListBullet"/>
      </w:pPr>
      <w:r>
        <w:t>For this posterior family, the entropy term depends on boundary measure.</w:t>
      </w:r>
    </w:p>
    <w:p>
      <w:pPr>
        <w:pStyle w:val="ListBullet"/>
      </w:pPr>
      <w:r>
        <w:t>The energy term remains model-dependent.</w:t>
      </w:r>
    </w:p>
    <w:p>
      <w:pPr>
        <w:pStyle w:val="ListBullet"/>
      </w:pPr>
      <w:r>
        <w:t>This does not prove a global upper bound on variational free energy by boundary area.</w:t>
      </w:r>
    </w:p>
    <w:p>
      <w:pPr>
        <w:pStyle w:val="ListBullet"/>
      </w:pPr>
      <w:r>
        <w:t>Precision changes the normal width sigma, but it does not establish universal cultural or psychological differences.</w:t>
      </w:r>
    </w:p>
    <w:p>
      <w:pPr>
        <w:pStyle w:val="Heading1"/>
      </w:pPr>
      <w:r>
        <w:t>Appendix I. Holographic and Bekenstein-Hawking correspondence</w:t>
      </w:r>
    </w:p>
    <w:p>
      <w:r>
        <w:t>Black-hole entropy is a physical result in gravitational thermodynamics: at leading semiclassical order it is proportional to horizon area. The proposed decision bound is a metric-entropy statement about a policy class. They do not arise from the same physical mechanism.</w:t>
      </w:r>
    </w:p>
    <w:tbl>
      <w:tblPr>
        <w:tblStyle w:val="TableGrid"/>
        <w:tblW w:type="auto" w:w="0"/>
        <w:jc w:val="center"/>
        <w:tblLook w:firstColumn="1" w:firstRow="1" w:lastColumn="0" w:lastRow="0" w:noHBand="0" w:noVBand="1" w:val="04A0"/>
      </w:tblPr>
      <w:tblGrid>
        <w:gridCol w:w="3331"/>
        <w:gridCol w:w="3331"/>
        <w:gridCol w:w="3331"/>
      </w:tblGrid>
      <w:tr>
        <w:tc>
          <w:tcPr>
            <w:tcW w:type="dxa" w:w="3331"/>
            <w:shd w:fill="01696F"/>
            <w:vAlign w:val="center"/>
          </w:tcPr>
          <w:p>
            <w:r>
              <w:rPr>
                <w:b/>
                <w:color w:val="FFFFFF"/>
                <w:sz w:val="17"/>
              </w:rPr>
              <w:t>Feature</w:t>
            </w:r>
          </w:p>
        </w:tc>
        <w:tc>
          <w:tcPr>
            <w:tcW w:type="dxa" w:w="3331"/>
            <w:shd w:fill="01696F"/>
            <w:vAlign w:val="center"/>
          </w:tcPr>
          <w:p>
            <w:r>
              <w:rPr>
                <w:b/>
                <w:color w:val="FFFFFF"/>
                <w:sz w:val="17"/>
              </w:rPr>
              <w:t>Black-hole setting</w:t>
            </w:r>
          </w:p>
        </w:tc>
        <w:tc>
          <w:tcPr>
            <w:tcW w:type="dxa" w:w="3331"/>
            <w:shd w:fill="01696F"/>
            <w:vAlign w:val="center"/>
          </w:tcPr>
          <w:p>
            <w:r>
              <w:rPr>
                <w:b/>
                <w:color w:val="FFFFFF"/>
                <w:sz w:val="17"/>
              </w:rPr>
              <w:t>Decision-boundary setting</w:t>
            </w:r>
          </w:p>
        </w:tc>
      </w:tr>
      <w:tr>
        <w:tc>
          <w:tcPr>
            <w:tcW w:type="dxa" w:w="3331"/>
            <w:vAlign w:val="top"/>
          </w:tcPr>
          <w:p>
            <w:r>
              <w:rPr>
                <w:sz w:val="17"/>
              </w:rPr>
              <w:t>Boundary object</w:t>
            </w:r>
          </w:p>
        </w:tc>
        <w:tc>
          <w:tcPr>
            <w:tcW w:type="dxa" w:w="3331"/>
            <w:vAlign w:val="top"/>
          </w:tcPr>
          <w:p>
            <w:r>
              <w:rPr>
                <w:sz w:val="17"/>
              </w:rPr>
              <w:t>Event horizon</w:t>
            </w:r>
          </w:p>
        </w:tc>
        <w:tc>
          <w:tcPr>
            <w:tcW w:type="dxa" w:w="3331"/>
            <w:vAlign w:val="top"/>
          </w:tcPr>
          <w:p>
            <w:r>
              <w:rPr>
                <w:sz w:val="17"/>
              </w:rPr>
              <w:t>Action-changing set in a chosen representation</w:t>
            </w:r>
          </w:p>
        </w:tc>
      </w:tr>
      <w:tr>
        <w:tc>
          <w:tcPr>
            <w:tcW w:type="dxa" w:w="3331"/>
            <w:vAlign w:val="top"/>
          </w:tcPr>
          <w:p>
            <w:r>
              <w:rPr>
                <w:sz w:val="17"/>
              </w:rPr>
              <w:t>Measure</w:t>
            </w:r>
          </w:p>
        </w:tc>
        <w:tc>
          <w:tcPr>
            <w:tcW w:type="dxa" w:w="3331"/>
            <w:vAlign w:val="top"/>
          </w:tcPr>
          <w:p>
            <w:r>
              <w:rPr>
                <w:sz w:val="17"/>
              </w:rPr>
              <w:t>Physical horizon area</w:t>
            </w:r>
          </w:p>
        </w:tc>
        <w:tc>
          <w:tcPr>
            <w:tcW w:type="dxa" w:w="3331"/>
            <w:vAlign w:val="top"/>
          </w:tcPr>
          <w:p>
            <w:r>
              <w:rPr>
                <w:sz w:val="17"/>
              </w:rPr>
              <w:t>Hausdorff measure under a task metric</w:t>
            </w:r>
          </w:p>
        </w:tc>
      </w:tr>
      <w:tr>
        <w:tc>
          <w:tcPr>
            <w:tcW w:type="dxa" w:w="3331"/>
            <w:vAlign w:val="top"/>
          </w:tcPr>
          <w:p>
            <w:r>
              <w:rPr>
                <w:sz w:val="17"/>
              </w:rPr>
              <w:t>Resolution</w:t>
            </w:r>
          </w:p>
        </w:tc>
        <w:tc>
          <w:tcPr>
            <w:tcW w:type="dxa" w:w="3331"/>
            <w:vAlign w:val="top"/>
          </w:tcPr>
          <w:p>
            <w:r>
              <w:rPr>
                <w:sz w:val="17"/>
              </w:rPr>
              <w:t>Planck-scale physics</w:t>
            </w:r>
          </w:p>
        </w:tc>
        <w:tc>
          <w:tcPr>
            <w:tcW w:type="dxa" w:w="3331"/>
            <w:vAlign w:val="top"/>
          </w:tcPr>
          <w:p>
            <w:r>
              <w:rPr>
                <w:sz w:val="17"/>
              </w:rPr>
              <w:t>Declared observational or representational epsilon</w:t>
            </w:r>
          </w:p>
        </w:tc>
      </w:tr>
      <w:tr>
        <w:tc>
          <w:tcPr>
            <w:tcW w:type="dxa" w:w="3331"/>
            <w:vAlign w:val="top"/>
          </w:tcPr>
          <w:p>
            <w:r>
              <w:rPr>
                <w:sz w:val="17"/>
              </w:rPr>
              <w:t>Entropy meaning</w:t>
            </w:r>
          </w:p>
        </w:tc>
        <w:tc>
          <w:tcPr>
            <w:tcW w:type="dxa" w:w="3331"/>
            <w:vAlign w:val="top"/>
          </w:tcPr>
          <w:p>
            <w:r>
              <w:rPr>
                <w:sz w:val="17"/>
              </w:rPr>
              <w:t>Thermodynamic / quantum-gravitational state count</w:t>
            </w:r>
          </w:p>
        </w:tc>
        <w:tc>
          <w:tcPr>
            <w:tcW w:type="dxa" w:w="3331"/>
            <w:vAlign w:val="top"/>
          </w:tcPr>
          <w:p>
            <w:r>
              <w:rPr>
                <w:sz w:val="17"/>
              </w:rPr>
              <w:t>Log covering number of a policy class</w:t>
            </w:r>
          </w:p>
        </w:tc>
      </w:tr>
      <w:tr>
        <w:tc>
          <w:tcPr>
            <w:tcW w:type="dxa" w:w="3331"/>
            <w:vAlign w:val="top"/>
          </w:tcPr>
          <w:p>
            <w:r>
              <w:rPr>
                <w:sz w:val="17"/>
              </w:rPr>
              <w:t>Status</w:t>
            </w:r>
          </w:p>
        </w:tc>
        <w:tc>
          <w:tcPr>
            <w:tcW w:type="dxa" w:w="3331"/>
            <w:vAlign w:val="top"/>
          </w:tcPr>
          <w:p>
            <w:r>
              <w:rPr>
                <w:sz w:val="17"/>
              </w:rPr>
              <w:t>Established physical theory within its domain</w:t>
            </w:r>
          </w:p>
        </w:tc>
        <w:tc>
          <w:tcPr>
            <w:tcW w:type="dxa" w:w="3331"/>
            <w:vAlign w:val="top"/>
          </w:tcPr>
          <w:p>
            <w:r>
              <w:rPr>
                <w:sz w:val="17"/>
              </w:rPr>
              <w:t>Proposed mathematical model requiring empirical validation</w:t>
            </w:r>
          </w:p>
        </w:tc>
      </w:tr>
    </w:tbl>
    <w:p/>
    <w:p>
      <w:r>
        <w:t>The safe conclusion is a shared area-over-resolution form. The paper should not state that the two bounds are the same theorem, that gravity has a decision-theoretic analogue, or that black-hole saturation transfers to machine-learning policies.</w:t>
      </w:r>
    </w:p>
    <w:p>
      <w:pPr>
        <w:pStyle w:val="Heading1"/>
      </w:pPr>
      <w:r>
        <w:t>Appendix J. Quantum-kernel research question</w:t>
      </w:r>
    </w:p>
    <w:p>
      <w:r>
        <w:t>Quantum feature maps can embed inputs into high-dimensional Hilbert spaces. This representational fact does not establish a computational advantage. A valid quantum-advantage claim requires a task, an efficient encoding, a quantum algorithm, a classical lower bound, measurement cost and a noise model.</w:t>
      </w:r>
    </w:p>
    <w:tbl>
      <w:tblPr>
        <w:tblW w:type="auto" w:w="0"/>
        <w:jc w:val="center"/>
        <w:tblLayout w:type="autofit"/>
        <w:tblLook w:firstColumn="1" w:firstRow="1" w:lastColumn="0" w:lastRow="0" w:noHBand="0" w:noVBand="1" w:val="04A0"/>
      </w:tblPr>
      <w:tblGrid>
        <w:gridCol w:w="9994"/>
      </w:tblGrid>
      <w:tr>
        <w:tc>
          <w:tcPr>
            <w:tcW w:type="dxa" w:w="9994"/>
            <w:shd w:fill="EEF4F3"/>
          </w:tcPr>
          <w:p>
            <w:pPr>
              <w:spacing w:after="0"/>
            </w:pPr>
            <w:r>
              <w:rPr>
                <w:b/>
                <w:color w:val="00696F"/>
                <w:sz w:val="20"/>
              </w:rPr>
              <w:t>CONDITIONAL HYPOTHESIS J.1</w:t>
              <w:br/>
            </w:r>
            <w:r>
              <w:rPr>
                <w:color w:val="102326"/>
                <w:sz w:val="19"/>
              </w:rPr>
              <w:t>Boundary complexity may help identify decision tasks worth testing with quantum kernels, but no qubit threshold, date or advantage follows from the covering bound alone.</w:t>
            </w:r>
          </w:p>
        </w:tc>
      </w:tr>
    </w:tbl>
    <w:p/>
    <w:p>
      <w:pPr>
        <w:pStyle w:val="ListBullet"/>
      </w:pPr>
      <w:r>
        <w:t>Estimate boundary complexity with a representation-stable metric.</w:t>
      </w:r>
    </w:p>
    <w:p>
      <w:pPr>
        <w:pStyle w:val="ListBullet"/>
      </w:pPr>
      <w:r>
        <w:t>Compare against strong classical kernels and neural baselines.</w:t>
      </w:r>
    </w:p>
    <w:p>
      <w:pPr>
        <w:pStyle w:val="ListBullet"/>
      </w:pPr>
      <w:r>
        <w:t>Include data-loading and measurement cost.</w:t>
      </w:r>
    </w:p>
    <w:p>
      <w:pPr>
        <w:pStyle w:val="ListBullet"/>
      </w:pPr>
      <w:r>
        <w:t>Require reproducible end-to-end advantage, not feature-space dimension alone.</w:t>
      </w:r>
    </w:p>
    <w:p>
      <w:pPr>
        <w:pStyle w:val="Heading1"/>
      </w:pPr>
      <w:r>
        <w:t>Appendix K. Thermodynamic-computing research question</w:t>
      </w:r>
    </w:p>
    <w:p>
      <w:r>
        <w:t>Thermodynamic and probabilistic hardware may be well suited to sampling or energy-based inference. The proposed decision-boundary theory does not currently derive a hardware-efficiency law. Efficiency must be measured in joules, latency, throughput, solution quality and total system cost on a declared workload.</w:t>
      </w:r>
    </w:p>
    <w:tbl>
      <w:tblPr>
        <w:tblW w:type="auto" w:w="0"/>
        <w:jc w:val="center"/>
        <w:tblLayout w:type="autofit"/>
        <w:tblLook w:firstColumn="1" w:firstRow="1" w:lastColumn="0" w:lastRow="0" w:noHBand="0" w:noVBand="1" w:val="04A0"/>
      </w:tblPr>
      <w:tblGrid>
        <w:gridCol w:w="9994"/>
      </w:tblGrid>
      <w:tr>
        <w:tc>
          <w:tcPr>
            <w:tcW w:type="dxa" w:w="9994"/>
            <w:shd w:fill="EEF4F3"/>
          </w:tcPr>
          <w:p>
            <w:pPr>
              <w:spacing w:after="0"/>
            </w:pPr>
            <w:r>
              <w:rPr>
                <w:b/>
                <w:color w:val="00696F"/>
                <w:sz w:val="20"/>
              </w:rPr>
              <w:t>CONDITIONAL HYPOTHESIS K.1</w:t>
              <w:br/>
            </w:r>
            <w:r>
              <w:rPr>
                <w:color w:val="102326"/>
                <w:sz w:val="19"/>
              </w:rPr>
              <w:t>If a decision workload is dominated by sampling near competing actions, probabilistic hardware may offer an efficiency advantage. The scaling of that advantage with boundary complexity is an open empirical question.</w:t>
            </w:r>
          </w:p>
        </w:tc>
      </w:tr>
    </w:tbl>
    <w:p/>
    <w:p>
      <w:pPr>
        <w:pStyle w:val="Heading1"/>
      </w:pPr>
      <w:r>
        <w:t>Appendix L. No qubit-count timeline theorem</w:t>
      </w:r>
    </w:p>
    <w:p>
      <w:r>
        <w:t>The original timeline extrapolated a doubly exponential trend and mapped boundary configuration count directly to qubit count. That inference is not valid. Logical qubits, circuit depth, error correction, state preparation and algorithmic complexity cannot be collapsed into Hilbert-space dimension.</w:t>
      </w:r>
    </w:p>
    <w:tbl>
      <w:tblPr>
        <w:tblW w:type="auto" w:w="0"/>
        <w:jc w:val="center"/>
        <w:tblLayout w:type="autofit"/>
        <w:tblLook w:firstColumn="1" w:firstRow="1" w:lastColumn="0" w:lastRow="0" w:noHBand="0" w:noVBand="1" w:val="04A0"/>
      </w:tblPr>
      <w:tblGrid>
        <w:gridCol w:w="9994"/>
      </w:tblGrid>
      <w:tr>
        <w:tc>
          <w:tcPr>
            <w:tcW w:type="dxa" w:w="9994"/>
            <w:shd w:fill="EEF4F3"/>
          </w:tcPr>
          <w:p>
            <w:pPr>
              <w:spacing w:after="0"/>
            </w:pPr>
            <w:r>
              <w:rPr>
                <w:b/>
                <w:color w:val="00696F"/>
                <w:sz w:val="20"/>
              </w:rPr>
              <w:t>REVISION</w:t>
              <w:br/>
            </w:r>
            <w:r>
              <w:rPr>
                <w:color w:val="102326"/>
                <w:sz w:val="19"/>
              </w:rPr>
              <w:t>Remove the 2028-2030 prediction. Replace it with a technology-watch protocol that records hardware capabilities and triggers a benchmark only when a specific algorithm can be executed against a competitive classical baseline.</w:t>
            </w:r>
          </w:p>
        </w:tc>
      </w:tr>
    </w:tbl>
    <w:p/>
    <w:p>
      <w:pPr>
        <w:pStyle w:val="Heading1"/>
      </w:pPr>
      <w:r>
        <w:t>Appendix M. Model-capacity knee hypothesis</w:t>
      </w:r>
    </w:p>
    <w:p>
      <w:r>
        <w:t>The original Model-Selection Theorem assumed that representational capacity maps directly to parameter count and that any model above the covering number achieves minimum regret. That is not established. Optimisation, architecture, inductive bias, data coverage and training procedure all matter.</w:t>
      </w:r>
    </w:p>
    <w:p>
      <w:pPr>
        <w:pStyle w:val="Heading2"/>
      </w:pPr>
      <w:r>
        <w:t>M.1 Operational hypothesis</w:t>
      </w:r>
    </w:p>
    <w:tbl>
      <w:tblPr>
        <w:tblW w:type="auto" w:w="0"/>
        <w:jc w:val="center"/>
        <w:tblLayout w:type="autofit"/>
        <w:tblLook w:firstColumn="1" w:firstRow="1" w:lastColumn="0" w:lastRow="0" w:noHBand="0" w:noVBand="1" w:val="04A0"/>
      </w:tblPr>
      <w:tblGrid>
        <w:gridCol w:w="9994"/>
      </w:tblGrid>
      <w:tr>
        <w:tc>
          <w:tcPr>
            <w:tcW w:type="dxa" w:w="9994"/>
            <w:shd w:fill="EEF4F3"/>
          </w:tcPr>
          <w:p>
            <w:pPr>
              <w:spacing w:after="0"/>
            </w:pPr>
            <w:r>
              <w:rPr>
                <w:b/>
                <w:color w:val="00696F"/>
                <w:sz w:val="20"/>
              </w:rPr>
              <w:t>HYPOTHESIS M.1</w:t>
              <w:br/>
            </w:r>
            <w:r>
              <w:rPr>
                <w:color w:val="102326"/>
                <w:sz w:val="19"/>
              </w:rPr>
              <w:t>For a controlled model family trained on the same data and objective, performance may exhibit a capacity knee. The location of that knee may correlate with an independently estimated measure of boundary complexity.</w:t>
            </w:r>
          </w:p>
        </w:tc>
      </w:tr>
    </w:tbl>
    <w:p/>
    <w:p>
      <w:pPr>
        <w:pStyle w:val="Heading2"/>
      </w:pPr>
      <w:r>
        <w:t>M.2 Valid test design</w:t>
      </w:r>
    </w:p>
    <w:p>
      <w:pPr>
        <w:pStyle w:val="ListBullet"/>
      </w:pPr>
      <w:r>
        <w:t>Choose model families with ordered, measured capacity.</w:t>
      </w:r>
    </w:p>
    <w:p>
      <w:pPr>
        <w:pStyle w:val="ListBullet"/>
      </w:pPr>
      <w:r>
        <w:t>Estimate boundary complexity before inspecting the performance curve.</w:t>
      </w:r>
    </w:p>
    <w:p>
      <w:pPr>
        <w:pStyle w:val="ListBullet"/>
      </w:pPr>
      <w:r>
        <w:t>Fit a segmented or saturating curve with uncertainty intervals.</w:t>
      </w:r>
    </w:p>
    <w:p>
      <w:pPr>
        <w:pStyle w:val="ListBullet"/>
      </w:pPr>
      <w:r>
        <w:t>Compare prediction against input dimension, sample size, margin and simpler complexity measures.</w:t>
      </w:r>
    </w:p>
    <w:p>
      <w:pPr>
        <w:pStyle w:val="ListBullet"/>
      </w:pPr>
      <w:r>
        <w:t>Repeat across seeds and unrelated domains.</w:t>
      </w:r>
    </w:p>
    <w:p>
      <w:pPr>
        <w:pStyle w:val="ListBullet"/>
      </w:pPr>
      <w:r>
        <w:t>Treat failure to outperform these baselines as evidence against the operational theory.</w:t>
      </w:r>
    </w:p>
    <w:p>
      <w:pPr>
        <w:pStyle w:val="Heading1"/>
      </w:pPr>
      <w:r>
        <w:t>Appendix N. Empirical falsification protocol</w:t>
      </w:r>
    </w:p>
    <w:tbl>
      <w:tblPr>
        <w:tblStyle w:val="TableGrid"/>
        <w:tblW w:type="auto" w:w="0"/>
        <w:jc w:val="center"/>
        <w:tblLook w:firstColumn="1" w:firstRow="1" w:lastColumn="0" w:lastRow="0" w:noHBand="0" w:noVBand="1" w:val="04A0"/>
      </w:tblPr>
      <w:tblGrid>
        <w:gridCol w:w="3331"/>
        <w:gridCol w:w="3331"/>
        <w:gridCol w:w="3331"/>
      </w:tblGrid>
      <w:tr>
        <w:tc>
          <w:tcPr>
            <w:tcW w:type="dxa" w:w="3331"/>
            <w:shd w:fill="01696F"/>
            <w:vAlign w:val="center"/>
          </w:tcPr>
          <w:p>
            <w:r>
              <w:rPr>
                <w:b/>
                <w:color w:val="FFFFFF"/>
                <w:sz w:val="17"/>
              </w:rPr>
              <w:t>Test</w:t>
            </w:r>
          </w:p>
        </w:tc>
        <w:tc>
          <w:tcPr>
            <w:tcW w:type="dxa" w:w="3331"/>
            <w:shd w:fill="01696F"/>
            <w:vAlign w:val="center"/>
          </w:tcPr>
          <w:p>
            <w:r>
              <w:rPr>
                <w:b/>
                <w:color w:val="FFFFFF"/>
                <w:sz w:val="17"/>
              </w:rPr>
              <w:t>Required evidence</w:t>
            </w:r>
          </w:p>
        </w:tc>
        <w:tc>
          <w:tcPr>
            <w:tcW w:type="dxa" w:w="3331"/>
            <w:shd w:fill="01696F"/>
            <w:vAlign w:val="center"/>
          </w:tcPr>
          <w:p>
            <w:r>
              <w:rPr>
                <w:b/>
                <w:color w:val="FFFFFF"/>
                <w:sz w:val="17"/>
              </w:rPr>
              <w:t>Failure condition</w:t>
            </w:r>
          </w:p>
        </w:tc>
      </w:tr>
      <w:tr>
        <w:tc>
          <w:tcPr>
            <w:tcW w:type="dxa" w:w="3331"/>
            <w:vAlign w:val="top"/>
          </w:tcPr>
          <w:p>
            <w:r>
              <w:rPr>
                <w:sz w:val="17"/>
              </w:rPr>
              <w:t>N.1 Synthetic recovery</w:t>
            </w:r>
          </w:p>
        </w:tc>
        <w:tc>
          <w:tcPr>
            <w:tcW w:type="dxa" w:w="3331"/>
            <w:vAlign w:val="top"/>
          </w:tcPr>
          <w:p>
            <w:r>
              <w:rPr>
                <w:sz w:val="17"/>
              </w:rPr>
              <w:t>Known boundaries are correctly ordered by the estimator; random-label controls fail.</w:t>
            </w:r>
          </w:p>
        </w:tc>
        <w:tc>
          <w:tcPr>
            <w:tcW w:type="dxa" w:w="3331"/>
            <w:vAlign w:val="top"/>
          </w:tcPr>
          <w:p>
            <w:r>
              <w:rPr>
                <w:sz w:val="17"/>
              </w:rPr>
              <w:t>Estimator cannot recover known ordering or responds strongly to random labels.</w:t>
            </w:r>
          </w:p>
        </w:tc>
      </w:tr>
      <w:tr>
        <w:tc>
          <w:tcPr>
            <w:tcW w:type="dxa" w:w="3331"/>
            <w:vAlign w:val="top"/>
          </w:tcPr>
          <w:p>
            <w:r>
              <w:rPr>
                <w:sz w:val="17"/>
              </w:rPr>
              <w:t>N.2 Boundary-shell localisation</w:t>
            </w:r>
          </w:p>
        </w:tc>
        <w:tc>
          <w:tcPr>
            <w:tcW w:type="dxa" w:w="3331"/>
            <w:vAlign w:val="top"/>
          </w:tcPr>
          <w:p>
            <w:r>
              <w:rPr>
                <w:sz w:val="17"/>
              </w:rPr>
              <w:t>Material errors or regret concentrate nearer the true action boundary.</w:t>
            </w:r>
          </w:p>
        </w:tc>
        <w:tc>
          <w:tcPr>
            <w:tcW w:type="dxa" w:w="3331"/>
            <w:vAlign w:val="top"/>
          </w:tcPr>
          <w:p>
            <w:r>
              <w:rPr>
                <w:sz w:val="17"/>
              </w:rPr>
              <w:t>No localisation after controlling for class frequency and density.</w:t>
            </w:r>
          </w:p>
        </w:tc>
      </w:tr>
      <w:tr>
        <w:tc>
          <w:tcPr>
            <w:tcW w:type="dxa" w:w="3331"/>
            <w:vAlign w:val="top"/>
          </w:tcPr>
          <w:p>
            <w:r>
              <w:rPr>
                <w:sz w:val="17"/>
              </w:rPr>
              <w:t>N.3 Boundary vs irrelevant dimension</w:t>
            </w:r>
          </w:p>
        </w:tc>
        <w:tc>
          <w:tcPr>
            <w:tcW w:type="dxa" w:w="3331"/>
            <w:vAlign w:val="top"/>
          </w:tcPr>
          <w:p>
            <w:r>
              <w:rPr>
                <w:sz w:val="17"/>
              </w:rPr>
              <w:t>Capacity tracks boundary complexity more strongly than added nuisance dimensions.</w:t>
            </w:r>
          </w:p>
        </w:tc>
        <w:tc>
          <w:tcPr>
            <w:tcW w:type="dxa" w:w="3331"/>
            <w:vAlign w:val="top"/>
          </w:tcPr>
          <w:p>
            <w:r>
              <w:rPr>
                <w:sz w:val="17"/>
              </w:rPr>
              <w:t>Nuisance dimension predicts capacity equally well or better.</w:t>
            </w:r>
          </w:p>
        </w:tc>
      </w:tr>
      <w:tr>
        <w:tc>
          <w:tcPr>
            <w:tcW w:type="dxa" w:w="3331"/>
            <w:vAlign w:val="top"/>
          </w:tcPr>
          <w:p>
            <w:r>
              <w:rPr>
                <w:sz w:val="17"/>
              </w:rPr>
              <w:t>N.4 Representation stability</w:t>
            </w:r>
          </w:p>
        </w:tc>
        <w:tc>
          <w:tcPr>
            <w:tcW w:type="dxa" w:w="3331"/>
            <w:vAlign w:val="top"/>
          </w:tcPr>
          <w:p>
            <w:r>
              <w:rPr>
                <w:sz w:val="17"/>
              </w:rPr>
              <w:t>Estimator remains stable under declared bi-Lipschitz or information-preserving transforms.</w:t>
            </w:r>
          </w:p>
        </w:tc>
        <w:tc>
          <w:tcPr>
            <w:tcW w:type="dxa" w:w="3331"/>
            <w:vAlign w:val="top"/>
          </w:tcPr>
          <w:p>
            <w:r>
              <w:rPr>
                <w:sz w:val="17"/>
              </w:rPr>
              <w:t>Estimate changes arbitrarily under equivalent representations.</w:t>
            </w:r>
          </w:p>
        </w:tc>
      </w:tr>
      <w:tr>
        <w:tc>
          <w:tcPr>
            <w:tcW w:type="dxa" w:w="3331"/>
            <w:vAlign w:val="top"/>
          </w:tcPr>
          <w:p>
            <w:r>
              <w:rPr>
                <w:sz w:val="17"/>
              </w:rPr>
              <w:t>N.5 Capacity-knee prediction</w:t>
            </w:r>
          </w:p>
        </w:tc>
        <w:tc>
          <w:tcPr>
            <w:tcW w:type="dxa" w:w="3331"/>
            <w:vAlign w:val="top"/>
          </w:tcPr>
          <w:p>
            <w:r>
              <w:rPr>
                <w:sz w:val="17"/>
              </w:rPr>
              <w:t>Pre-registered boundary estimate predicts the smallest near-best model.</w:t>
            </w:r>
          </w:p>
        </w:tc>
        <w:tc>
          <w:tcPr>
            <w:tcW w:type="dxa" w:w="3331"/>
            <w:vAlign w:val="top"/>
          </w:tcPr>
          <w:p>
            <w:r>
              <w:rPr>
                <w:sz w:val="17"/>
              </w:rPr>
              <w:t>Prediction misses across at least three unrelated domains.</w:t>
            </w:r>
          </w:p>
        </w:tc>
      </w:tr>
      <w:tr>
        <w:tc>
          <w:tcPr>
            <w:tcW w:type="dxa" w:w="3331"/>
            <w:vAlign w:val="top"/>
          </w:tcPr>
          <w:p>
            <w:r>
              <w:rPr>
                <w:sz w:val="17"/>
              </w:rPr>
              <w:t>N.6 External replication</w:t>
            </w:r>
          </w:p>
        </w:tc>
        <w:tc>
          <w:tcPr>
            <w:tcW w:type="dxa" w:w="3331"/>
            <w:vAlign w:val="top"/>
          </w:tcPr>
          <w:p>
            <w:r>
              <w:rPr>
                <w:sz w:val="17"/>
              </w:rPr>
              <w:t>Independent team reproduces direction and uncertainty of the main result.</w:t>
            </w:r>
          </w:p>
        </w:tc>
        <w:tc>
          <w:tcPr>
            <w:tcW w:type="dxa" w:w="3331"/>
            <w:vAlign w:val="top"/>
          </w:tcPr>
          <w:p>
            <w:r>
              <w:rPr>
                <w:sz w:val="17"/>
              </w:rPr>
              <w:t>Result depends on one dataset, seed or estimator choice.</w:t>
            </w:r>
          </w:p>
        </w:tc>
      </w:tr>
    </w:tbl>
    <w:p/>
    <w:p>
      <w:pPr>
        <w:pStyle w:val="Heading2"/>
      </w:pPr>
      <w:r>
        <w:t>N.1 Proposed sequence</w:t>
      </w:r>
    </w:p>
    <w:p>
      <w:pPr>
        <w:pStyle w:val="ListBullet"/>
      </w:pPr>
      <w:r>
        <w:t>Stage 1: synthetic geometric wind tunnel.</w:t>
      </w:r>
    </w:p>
    <w:p>
      <w:pPr>
        <w:pStyle w:val="ListBullet"/>
      </w:pPr>
      <w:r>
        <w:t>Stage 2: the existing QSR decision-state benchmark.</w:t>
      </w:r>
    </w:p>
    <w:p>
      <w:pPr>
        <w:pStyle w:val="ListBullet"/>
      </w:pPr>
      <w:r>
        <w:t>Stage 3: public uplift, predictive-maintenance, routing and decision datasets.</w:t>
      </w:r>
    </w:p>
    <w:p>
      <w:pPr>
        <w:pStyle w:val="ListBullet"/>
      </w:pPr>
      <w:r>
        <w:t>Stage 4: preregistered cross-domain replication.</w:t>
      </w:r>
    </w:p>
    <w:p>
      <w:pPr>
        <w:pStyle w:val="ListBullet"/>
      </w:pPr>
      <w:r>
        <w:t>Stage 5: only then evaluate hardware-routing implications.</w:t>
      </w:r>
    </w:p>
    <w:p>
      <w:pPr>
        <w:pStyle w:val="Heading1"/>
      </w:pPr>
      <w:r>
        <w:t>Closing limitations register</w:t>
      </w:r>
    </w:p>
    <w:tbl>
      <w:tblPr>
        <w:tblStyle w:val="TableGrid"/>
        <w:tblW w:type="auto" w:w="0"/>
        <w:jc w:val="center"/>
        <w:tblLook w:firstColumn="1" w:firstRow="1" w:lastColumn="0" w:lastRow="0" w:noHBand="0" w:noVBand="1" w:val="04A0"/>
      </w:tblPr>
      <w:tblGrid>
        <w:gridCol w:w="3331"/>
        <w:gridCol w:w="3331"/>
        <w:gridCol w:w="3331"/>
      </w:tblGrid>
      <w:tr>
        <w:tc>
          <w:tcPr>
            <w:tcW w:type="dxa" w:w="3331"/>
            <w:shd w:fill="01696F"/>
            <w:vAlign w:val="center"/>
          </w:tcPr>
          <w:p>
            <w:r>
              <w:rPr>
                <w:b/>
                <w:color w:val="FFFFFF"/>
                <w:sz w:val="17"/>
              </w:rPr>
              <w:t>Limitation</w:t>
            </w:r>
          </w:p>
        </w:tc>
        <w:tc>
          <w:tcPr>
            <w:tcW w:type="dxa" w:w="3331"/>
            <w:shd w:fill="01696F"/>
            <w:vAlign w:val="center"/>
          </w:tcPr>
          <w:p>
            <w:r>
              <w:rPr>
                <w:b/>
                <w:color w:val="FFFFFF"/>
                <w:sz w:val="17"/>
              </w:rPr>
              <w:t>Why it matters</w:t>
            </w:r>
          </w:p>
        </w:tc>
        <w:tc>
          <w:tcPr>
            <w:tcW w:type="dxa" w:w="3331"/>
            <w:shd w:fill="01696F"/>
            <w:vAlign w:val="center"/>
          </w:tcPr>
          <w:p>
            <w:r>
              <w:rPr>
                <w:b/>
                <w:color w:val="FFFFFF"/>
                <w:sz w:val="17"/>
              </w:rPr>
              <w:t>Research response</w:t>
            </w:r>
          </w:p>
        </w:tc>
      </w:tr>
      <w:tr>
        <w:tc>
          <w:tcPr>
            <w:tcW w:type="dxa" w:w="3331"/>
            <w:vAlign w:val="top"/>
          </w:tcPr>
          <w:p>
            <w:r>
              <w:rPr>
                <w:sz w:val="17"/>
              </w:rPr>
              <w:t>Representation dependence</w:t>
            </w:r>
          </w:p>
        </w:tc>
        <w:tc>
          <w:tcPr>
            <w:tcW w:type="dxa" w:w="3331"/>
            <w:vAlign w:val="top"/>
          </w:tcPr>
          <w:p>
            <w:r>
              <w:rPr>
                <w:sz w:val="17"/>
              </w:rPr>
              <w:t>Boundary measure can change under latent reparameterisation.</w:t>
            </w:r>
          </w:p>
        </w:tc>
        <w:tc>
          <w:tcPr>
            <w:tcW w:type="dxa" w:w="3331"/>
            <w:vAlign w:val="top"/>
          </w:tcPr>
          <w:p>
            <w:r>
              <w:rPr>
                <w:sz w:val="17"/>
              </w:rPr>
              <w:t>Define and test a stable metric class.</w:t>
            </w:r>
          </w:p>
        </w:tc>
      </w:tr>
      <w:tr>
        <w:tc>
          <w:tcPr>
            <w:tcW w:type="dxa" w:w="3331"/>
            <w:vAlign w:val="top"/>
          </w:tcPr>
          <w:p>
            <w:r>
              <w:rPr>
                <w:sz w:val="17"/>
              </w:rPr>
              <w:t>Boundary observability</w:t>
            </w:r>
          </w:p>
        </w:tc>
        <w:tc>
          <w:tcPr>
            <w:tcW w:type="dxa" w:w="3331"/>
            <w:vAlign w:val="top"/>
          </w:tcPr>
          <w:p>
            <w:r>
              <w:rPr>
                <w:sz w:val="17"/>
              </w:rPr>
              <w:t>Labels may not identify the true action-switching set.</w:t>
            </w:r>
          </w:p>
        </w:tc>
        <w:tc>
          <w:tcPr>
            <w:tcW w:type="dxa" w:w="3331"/>
            <w:vAlign w:val="top"/>
          </w:tcPr>
          <w:p>
            <w:r>
              <w:rPr>
                <w:sz w:val="17"/>
              </w:rPr>
              <w:t>Use synthetic ground truth and causal/decision outcomes.</w:t>
            </w:r>
          </w:p>
        </w:tc>
      </w:tr>
      <w:tr>
        <w:tc>
          <w:tcPr>
            <w:tcW w:type="dxa" w:w="3331"/>
            <w:vAlign w:val="top"/>
          </w:tcPr>
          <w:p>
            <w:r>
              <w:rPr>
                <w:sz w:val="17"/>
              </w:rPr>
              <w:t>Patch dependence</w:t>
            </w:r>
          </w:p>
        </w:tc>
        <w:tc>
          <w:tcPr>
            <w:tcW w:type="dxa" w:w="3331"/>
            <w:vAlign w:val="top"/>
          </w:tcPr>
          <w:p>
            <w:r>
              <w:rPr>
                <w:sz w:val="17"/>
              </w:rPr>
              <w:t>Local boundary states are correlated.</w:t>
            </w:r>
          </w:p>
        </w:tc>
        <w:tc>
          <w:tcPr>
            <w:tcW w:type="dxa" w:w="3331"/>
            <w:vAlign w:val="top"/>
          </w:tcPr>
          <w:p>
            <w:r>
              <w:rPr>
                <w:sz w:val="17"/>
              </w:rPr>
              <w:t>Use regularity classes and empirical metric entropy.</w:t>
            </w:r>
          </w:p>
        </w:tc>
      </w:tr>
      <w:tr>
        <w:tc>
          <w:tcPr>
            <w:tcW w:type="dxa" w:w="3331"/>
            <w:vAlign w:val="top"/>
          </w:tcPr>
          <w:p>
            <w:r>
              <w:rPr>
                <w:sz w:val="17"/>
              </w:rPr>
              <w:t>Distribution dependence</w:t>
            </w:r>
          </w:p>
        </w:tc>
        <w:tc>
          <w:tcPr>
            <w:tcW w:type="dxa" w:w="3331"/>
            <w:vAlign w:val="top"/>
          </w:tcPr>
          <w:p>
            <w:r>
              <w:rPr>
                <w:sz w:val="17"/>
              </w:rPr>
              <w:t>Low-density boundary regions may matter little operationally.</w:t>
            </w:r>
          </w:p>
        </w:tc>
        <w:tc>
          <w:tcPr>
            <w:tcW w:type="dxa" w:w="3331"/>
            <w:vAlign w:val="top"/>
          </w:tcPr>
          <w:p>
            <w:r>
              <w:rPr>
                <w:sz w:val="17"/>
              </w:rPr>
              <w:t>Weight geometry by P_X and regret.</w:t>
            </w:r>
          </w:p>
        </w:tc>
      </w:tr>
      <w:tr>
        <w:tc>
          <w:tcPr>
            <w:tcW w:type="dxa" w:w="3331"/>
            <w:vAlign w:val="top"/>
          </w:tcPr>
          <w:p>
            <w:r>
              <w:rPr>
                <w:sz w:val="17"/>
              </w:rPr>
              <w:t>Optimisation gap</w:t>
            </w:r>
          </w:p>
        </w:tc>
        <w:tc>
          <w:tcPr>
            <w:tcW w:type="dxa" w:w="3331"/>
            <w:vAlign w:val="top"/>
          </w:tcPr>
          <w:p>
            <w:r>
              <w:rPr>
                <w:sz w:val="17"/>
              </w:rPr>
              <w:t>A model may have capacity but fail to learn the boundary.</w:t>
            </w:r>
          </w:p>
        </w:tc>
        <w:tc>
          <w:tcPr>
            <w:tcW w:type="dxa" w:w="3331"/>
            <w:vAlign w:val="top"/>
          </w:tcPr>
          <w:p>
            <w:r>
              <w:rPr>
                <w:sz w:val="17"/>
              </w:rPr>
              <w:t>Separate expressivity, optimisation and data errors.</w:t>
            </w:r>
          </w:p>
        </w:tc>
      </w:tr>
      <w:tr>
        <w:tc>
          <w:tcPr>
            <w:tcW w:type="dxa" w:w="3331"/>
            <w:vAlign w:val="top"/>
          </w:tcPr>
          <w:p>
            <w:r>
              <w:rPr>
                <w:sz w:val="17"/>
              </w:rPr>
              <w:t>Multi-action decisions</w:t>
            </w:r>
          </w:p>
        </w:tc>
        <w:tc>
          <w:tcPr>
            <w:tcW w:type="dxa" w:w="3331"/>
            <w:vAlign w:val="top"/>
          </w:tcPr>
          <w:p>
            <w:r>
              <w:rPr>
                <w:sz w:val="17"/>
              </w:rPr>
              <w:t>Boundaries can be stratified and intersect.</w:t>
            </w:r>
          </w:p>
        </w:tc>
        <w:tc>
          <w:tcPr>
            <w:tcW w:type="dxa" w:w="3331"/>
            <w:vAlign w:val="top"/>
          </w:tcPr>
          <w:p>
            <w:r>
              <w:rPr>
                <w:sz w:val="17"/>
              </w:rPr>
              <w:t>Extend to multiclass boundary complexes.</w:t>
            </w:r>
          </w:p>
        </w:tc>
      </w:tr>
      <w:tr>
        <w:tc>
          <w:tcPr>
            <w:tcW w:type="dxa" w:w="3331"/>
            <w:vAlign w:val="top"/>
          </w:tcPr>
          <w:p>
            <w:r>
              <w:rPr>
                <w:sz w:val="17"/>
              </w:rPr>
              <w:t>Dynamic decisions</w:t>
            </w:r>
          </w:p>
        </w:tc>
        <w:tc>
          <w:tcPr>
            <w:tcW w:type="dxa" w:w="3331"/>
            <w:vAlign w:val="top"/>
          </w:tcPr>
          <w:p>
            <w:r>
              <w:rPr>
                <w:sz w:val="17"/>
              </w:rPr>
              <w:t>The boundary can drift over time.</w:t>
            </w:r>
          </w:p>
        </w:tc>
        <w:tc>
          <w:tcPr>
            <w:tcW w:type="dxa" w:w="3331"/>
            <w:vAlign w:val="top"/>
          </w:tcPr>
          <w:p>
            <w:r>
              <w:rPr>
                <w:sz w:val="17"/>
              </w:rPr>
              <w:t>Add temporal geometry and monitoring.</w:t>
            </w:r>
          </w:p>
        </w:tc>
      </w:tr>
    </w:tbl>
    <w:p/>
    <w:p>
      <w:pPr>
        <w:pStyle w:val="Heading1"/>
      </w:pPr>
      <w:r>
        <w:t>References</w:t>
      </w:r>
    </w:p>
    <w:p>
      <w:pPr>
        <w:spacing w:after="80"/>
        <w:ind w:left="288" w:hanging="288"/>
      </w:pPr>
      <w:r>
        <w:t>Bekenstein, J. D. (1973). Black holes and entropy. Physical Review D, 7(8), 2333-2346. https://doi.org/10.1103/PhysRevD.7.2333</w:t>
      </w:r>
    </w:p>
    <w:p>
      <w:pPr>
        <w:spacing w:after="80"/>
        <w:ind w:left="288" w:hanging="288"/>
      </w:pPr>
      <w:r>
        <w:t>Bousso, R. (2002). The holographic principle. Reviews of Modern Physics, 74(3), 825-874. https://doi.org/10.1103/RevModPhys.74.825</w:t>
      </w:r>
    </w:p>
    <w:p>
      <w:pPr>
        <w:spacing w:after="80"/>
        <w:ind w:left="288" w:hanging="288"/>
      </w:pPr>
      <w:r>
        <w:t>Friston, K. (2010). The free-energy principle: a unified brain theory? Nature Reviews Neuroscience, 11, 127-138. https://doi.org/10.1038/nrn2787</w:t>
      </w:r>
    </w:p>
    <w:p>
      <w:pPr>
        <w:spacing w:after="80"/>
        <w:ind w:left="288" w:hanging="288"/>
      </w:pPr>
      <w:r>
        <w:t>Schuld, M., &amp; Killoran, N. (2019). Quantum machine learning in feature Hilbert spaces. Physical Review Letters, 122, 040504. https://doi.org/10.1103/PhysRevLett.122.040504</w:t>
      </w:r>
    </w:p>
    <w:p>
      <w:pPr>
        <w:spacing w:after="80"/>
        <w:ind w:left="288" w:hanging="288"/>
      </w:pPr>
      <w:r>
        <w:t>Shannon, C. E. (1959). Coding theorems for a discrete source with a fidelity criterion. IRE National Convention Record, 7(4), 142-163.</w:t>
      </w:r>
    </w:p>
    <w:p>
      <w:pPr>
        <w:spacing w:after="80"/>
        <w:ind w:left="288" w:hanging="288"/>
      </w:pPr>
      <w:r>
        <w:t>Srednicki, M. (1993). Entropy and area. Physical Review Letters, 71, 666-669. https://doi.org/10.1103/PhysRevLett.71.666</w:t>
      </w:r>
    </w:p>
    <w:p>
      <w:pPr>
        <w:spacing w:after="80"/>
        <w:ind w:left="288" w:hanging="288"/>
      </w:pPr>
      <w:r>
        <w:t>Tishby, N., Pereira, F. C., &amp; Bialek, W. (2000). The information bottleneck method. arXiv:physics/0004057.</w:t>
      </w:r>
    </w:p>
    <w:p>
      <w:pPr>
        <w:spacing w:after="80"/>
        <w:ind w:left="288" w:hanging="288"/>
      </w:pPr>
      <w:r>
        <w:t>Yao, Z., &amp; Zhang, Z. (2019). Principal boundary on Riemannian manifolds. Journal of the American Statistical Association, 115(531), 1168-1181. Preprint: arXiv:1711.06705.</w:t>
      </w:r>
    </w:p>
    <w:p>
      <w:pPr>
        <w:pBdr>
          <w:bottom w:val="single" w:sz="8" w:space="4" w:color="D9DEDB"/>
        </w:pBdr>
      </w:pPr>
    </w:p>
    <w:p>
      <w:pPr>
        <w:jc w:val="center"/>
      </w:pPr>
      <w:r>
        <w:rPr>
          <w:i/>
          <w:color w:val="526468"/>
          <w:sz w:val="18"/>
        </w:rPr>
        <w:t>Suggested citation: Singh, R. (2026). The Entropy of Choice: Mathematical Appendices to the Boundary-Complexity Hypothesis. NSDM / MetaForgeX AI Working Paper 2026-02A, Revision 2.0. Johannesburg: MetaForgeX AI.</w:t>
      </w:r>
    </w:p>
    <w:sectPr w:rsidR="00FC693F" w:rsidRPr="0006063C" w:rsidSect="00034616">
      <w:headerReference w:type="default" r:id="rId9"/>
      <w:footerReference w:type="default" r:id="rId10"/>
      <w:pgSz w:w="12240" w:h="15840"/>
      <w:pgMar w:top="1037" w:right="1123" w:bottom="1037" w:left="112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26468"/>
        <w:sz w:val="16"/>
      </w:rPr>
      <w:t>Independent working paper - not peer-reviewed</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rial" w:hAnsi="Arial"/>
        <w:color w:val="526468"/>
        <w:sz w:val="16"/>
      </w:rPr>
      <w:t>NSDM Institute | Working Paper 2026-02A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Arial" w:hAnsi="Arial"/>
      <w:b/>
      <w:bCs/>
      <w:color w:val="004B50"/>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b/>
      <w:bCs/>
      <w:color w:val="00696F"/>
      <w:sz w:val="24"/>
      <w:szCs w:val="26"/>
    </w:rPr>
  </w:style>
  <w:style w:type="paragraph" w:styleId="Heading3">
    <w:name w:val="heading 3"/>
    <w:basedOn w:val="Normal"/>
    <w:next w:val="Normal"/>
    <w:link w:val="Heading3Char"/>
    <w:uiPriority w:val="9"/>
    <w:unhideWhenUsed/>
    <w:qFormat/>
    <w:rsid w:val="00FC693F"/>
    <w:pPr>
      <w:keepNext/>
      <w:keepLines/>
      <w:spacing w:before="140" w:after="80"/>
      <w:outlineLvl w:val="2"/>
    </w:pPr>
    <w:rPr>
      <w:rFonts w:asciiTheme="majorHAnsi" w:eastAsiaTheme="majorEastAsia" w:hAnsiTheme="majorHAnsi" w:cstheme="majorBidi" w:ascii="Arial" w:hAnsi="Arial"/>
      <w:b/>
      <w:bCs/>
      <w:color w:val="102326"/>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02326"/>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b/>
      <w:i/>
      <w:iCs/>
      <w:color w:val="00696F"/>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